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3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883F84" wp14:editId="27F96CE4">
            <wp:simplePos x="0" y="0"/>
            <wp:positionH relativeFrom="column">
              <wp:posOffset>-487680</wp:posOffset>
            </wp:positionH>
            <wp:positionV relativeFrom="paragraph">
              <wp:posOffset>53340</wp:posOffset>
            </wp:positionV>
            <wp:extent cx="6923100" cy="1341686"/>
            <wp:effectExtent l="0" t="0" r="0" b="0"/>
            <wp:wrapNone/>
            <wp:docPr id="2" name="Picture 2" descr="C:\Users\mstoertz\AppData\Local\Microsoft\Windows\INetCache\Content.Word\banner-icn-conference-calendar-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toertz\AppData\Local\Microsoft\Windows\INetCache\Content.Word\banner-icn-conference-calendar-ev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85" cy="13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FF786D" w:rsidRDefault="00FF786D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Pr="00891511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tbl>
      <w:tblPr>
        <w:tblStyle w:val="TableGrid"/>
        <w:tblpPr w:leftFromText="180" w:rightFromText="180" w:vertAnchor="text" w:tblpX="-650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889"/>
        <w:gridCol w:w="1872"/>
        <w:gridCol w:w="7007"/>
      </w:tblGrid>
      <w:tr w:rsidR="00D5645E" w:rsidRPr="00592A9B" w:rsidTr="00F55EDB">
        <w:tc>
          <w:tcPr>
            <w:tcW w:w="1889" w:type="dxa"/>
            <w:shd w:val="clear" w:color="auto" w:fill="C00000"/>
          </w:tcPr>
          <w:p w:rsidR="00D5645E" w:rsidRPr="00C67A43" w:rsidRDefault="00D5645E" w:rsidP="00F55EDB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Date</w:t>
            </w:r>
          </w:p>
        </w:tc>
        <w:tc>
          <w:tcPr>
            <w:tcW w:w="1872" w:type="dxa"/>
            <w:shd w:val="clear" w:color="auto" w:fill="C00000"/>
          </w:tcPr>
          <w:p w:rsidR="00D5645E" w:rsidRPr="00C67A43" w:rsidRDefault="00D5645E" w:rsidP="00F55EDB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Program</w:t>
            </w:r>
          </w:p>
        </w:tc>
        <w:tc>
          <w:tcPr>
            <w:tcW w:w="7007" w:type="dxa"/>
            <w:shd w:val="clear" w:color="auto" w:fill="C00000"/>
            <w:vAlign w:val="center"/>
          </w:tcPr>
          <w:p w:rsidR="00D5645E" w:rsidRPr="00C67A43" w:rsidRDefault="00D5645E" w:rsidP="00F55EDB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    </w:t>
            </w:r>
            <w:r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Session</w:t>
            </w:r>
          </w:p>
        </w:tc>
      </w:tr>
      <w:tr w:rsidR="00D5645E" w:rsidRPr="00340D89" w:rsidTr="00F55EDB">
        <w:tc>
          <w:tcPr>
            <w:tcW w:w="10768" w:type="dxa"/>
            <w:gridSpan w:val="3"/>
            <w:shd w:val="clear" w:color="auto" w:fill="C00000"/>
          </w:tcPr>
          <w:p w:rsidR="00D5645E" w:rsidRPr="002C53C5" w:rsidRDefault="00D5645E" w:rsidP="00F55EDB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MAY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C5E0B3"/>
          </w:tcPr>
          <w:p w:rsidR="00D5645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</w:p>
          <w:p w:rsidR="00D5645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May</w:t>
            </w:r>
          </w:p>
        </w:tc>
        <w:tc>
          <w:tcPr>
            <w:tcW w:w="1872" w:type="dxa"/>
            <w:shd w:val="clear" w:color="auto" w:fill="C5E0B3"/>
          </w:tcPr>
          <w:p w:rsidR="00D5645E" w:rsidRPr="00340D89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Webinar</w:t>
            </w:r>
          </w:p>
        </w:tc>
        <w:tc>
          <w:tcPr>
            <w:tcW w:w="7007" w:type="dxa"/>
            <w:shd w:val="clear" w:color="auto" w:fill="C5E0B3"/>
            <w:vAlign w:val="center"/>
          </w:tcPr>
          <w:p w:rsidR="00D5645E" w:rsidRPr="00340D89" w:rsidRDefault="00D5645E" w:rsidP="00F55EDB">
            <w:pPr>
              <w:pStyle w:val="Heading1"/>
              <w:outlineLvl w:val="0"/>
              <w:rPr>
                <w:rFonts w:cstheme="minorHAnsi"/>
                <w:bCs/>
                <w:u w:val="none"/>
                <w:lang w:eastAsia="en-US"/>
              </w:rPr>
            </w:pPr>
            <w:r w:rsidRPr="001F36FA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Crisis Cartels</w:t>
            </w:r>
            <w:r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 xml:space="preserve">: </w:t>
            </w:r>
            <w:r w:rsidRPr="00C12230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lessons learnt from past crises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FFD966" w:themeFill="accent4" w:themeFillTint="99"/>
          </w:tcPr>
          <w:p w:rsidR="00D5645E" w:rsidRPr="000C13AE" w:rsidRDefault="00465381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</w:t>
            </w:r>
            <w:r w:rsidR="00D56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25 May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ICN</w:t>
            </w:r>
          </w:p>
        </w:tc>
        <w:tc>
          <w:tcPr>
            <w:tcW w:w="7007" w:type="dxa"/>
            <w:shd w:val="clear" w:color="auto" w:fill="FFD966" w:themeFill="accent4" w:themeFillTint="99"/>
            <w:vAlign w:val="center"/>
          </w:tcPr>
          <w:p w:rsidR="00D5645E" w:rsidRPr="000C13AE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Younger Agency Session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C9C9C9" w:themeFill="accent3" w:themeFillTint="99"/>
          </w:tcPr>
          <w:p w:rsidR="00D5645E" w:rsidRPr="00340D89" w:rsidRDefault="00465381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</w:t>
            </w:r>
            <w:r w:rsidR="009478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D56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27 May</w:t>
            </w:r>
          </w:p>
        </w:tc>
        <w:tc>
          <w:tcPr>
            <w:tcW w:w="1872" w:type="dxa"/>
            <w:shd w:val="clear" w:color="auto" w:fill="C9C9C9" w:themeFill="accent3" w:themeFillTint="99"/>
          </w:tcPr>
          <w:p w:rsidR="00D5645E" w:rsidRPr="00340D89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Asia Pacific Series</w:t>
            </w:r>
          </w:p>
        </w:tc>
        <w:tc>
          <w:tcPr>
            <w:tcW w:w="7007" w:type="dxa"/>
            <w:shd w:val="clear" w:color="auto" w:fill="C9C9C9" w:themeFill="accent3" w:themeFillTint="99"/>
            <w:vAlign w:val="center"/>
          </w:tcPr>
          <w:p w:rsidR="00D5645E" w:rsidRPr="00340D89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Compliance II</w:t>
            </w:r>
          </w:p>
        </w:tc>
      </w:tr>
      <w:tr w:rsidR="00D5645E" w:rsidRPr="00340D89" w:rsidTr="00F55EDB">
        <w:tc>
          <w:tcPr>
            <w:tcW w:w="10768" w:type="dxa"/>
            <w:gridSpan w:val="3"/>
            <w:shd w:val="clear" w:color="auto" w:fill="C00000"/>
          </w:tcPr>
          <w:p w:rsidR="00D5645E" w:rsidRPr="002C53C5" w:rsidRDefault="00D5645E" w:rsidP="00F55EDB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JUNE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FFD966" w:themeFill="accent4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ICN</w:t>
            </w:r>
          </w:p>
        </w:tc>
        <w:tc>
          <w:tcPr>
            <w:tcW w:w="7007" w:type="dxa"/>
            <w:shd w:val="clear" w:color="auto" w:fill="FFD966" w:themeFill="accent4" w:themeFillTint="99"/>
            <w:vAlign w:val="center"/>
          </w:tcPr>
          <w:p w:rsidR="00D5645E" w:rsidRPr="000C13AE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</w:rPr>
              <w:t>Heads of Agency session</w:t>
            </w:r>
          </w:p>
        </w:tc>
      </w:tr>
      <w:tr w:rsidR="001A10BF" w:rsidRPr="00340D89" w:rsidTr="001A10BF">
        <w:tc>
          <w:tcPr>
            <w:tcW w:w="1889" w:type="dxa"/>
            <w:shd w:val="clear" w:color="auto" w:fill="C5E0B3"/>
          </w:tcPr>
          <w:p w:rsidR="001A10BF" w:rsidRPr="000C13AE" w:rsidRDefault="001A10BF" w:rsidP="001A10BF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C5E0B3"/>
          </w:tcPr>
          <w:p w:rsidR="001A10BF" w:rsidRPr="000C13AE" w:rsidRDefault="001A10BF" w:rsidP="001A10BF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 Webinar</w:t>
            </w:r>
          </w:p>
        </w:tc>
        <w:tc>
          <w:tcPr>
            <w:tcW w:w="7007" w:type="dxa"/>
            <w:shd w:val="clear" w:color="auto" w:fill="C5E0B3"/>
            <w:vAlign w:val="center"/>
          </w:tcPr>
          <w:p w:rsidR="001A10BF" w:rsidRPr="000C13AE" w:rsidRDefault="001A10BF" w:rsidP="001A10BF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Merger</w:t>
            </w:r>
            <w:r w:rsidRPr="000C13AE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R</w:t>
            </w:r>
            <w:r w:rsidRPr="000C13AE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 xml:space="preserve">emedies </w:t>
            </w:r>
          </w:p>
        </w:tc>
      </w:tr>
      <w:tr w:rsidR="00D5645E" w:rsidRPr="00340D89" w:rsidTr="00F55EDB">
        <w:tc>
          <w:tcPr>
            <w:tcW w:w="10768" w:type="dxa"/>
            <w:gridSpan w:val="3"/>
            <w:shd w:val="clear" w:color="auto" w:fill="C00000"/>
          </w:tcPr>
          <w:p w:rsidR="00D5645E" w:rsidRPr="001F793F" w:rsidRDefault="00D5645E" w:rsidP="00F55EDB">
            <w:pPr>
              <w:pStyle w:val="IndexP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793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JULY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C5E0B3" w:themeFill="accent6" w:themeFillTint="66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 Webinar</w:t>
            </w:r>
          </w:p>
        </w:tc>
        <w:tc>
          <w:tcPr>
            <w:tcW w:w="7007" w:type="dxa"/>
            <w:shd w:val="clear" w:color="auto" w:fill="C5E0B3" w:themeFill="accent6" w:themeFillTint="66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Merger Remedies</w:t>
            </w:r>
          </w:p>
        </w:tc>
      </w:tr>
      <w:tr w:rsidR="00D5645E" w:rsidRPr="00340D89" w:rsidTr="00F55EDB">
        <w:tc>
          <w:tcPr>
            <w:tcW w:w="10768" w:type="dxa"/>
            <w:gridSpan w:val="3"/>
            <w:shd w:val="clear" w:color="auto" w:fill="C00000"/>
          </w:tcPr>
          <w:p w:rsidR="00D5645E" w:rsidRPr="00C67A43" w:rsidRDefault="00D5645E" w:rsidP="00F55EDB">
            <w:pPr>
              <w:pStyle w:val="Heading1"/>
              <w:jc w:val="center"/>
              <w:outlineLvl w:val="0"/>
              <w:rPr>
                <w:rFonts w:cstheme="minorHAnsi"/>
                <w:color w:val="FFFFFF" w:themeColor="background1"/>
                <w:sz w:val="28"/>
                <w:szCs w:val="28"/>
                <w:u w:val="none"/>
              </w:rPr>
            </w:pPr>
            <w:r w:rsidRPr="00AD1F9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SEPTEMBER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F4B083" w:themeFill="accent2" w:themeFillTint="99"/>
          </w:tcPr>
          <w:p w:rsidR="00D5645E" w:rsidRPr="000C13AE" w:rsidRDefault="00465381" w:rsidP="00F55EDB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  <w:r w:rsidR="00D56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9 September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P&amp;I </w:t>
            </w: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Workshop </w:t>
            </w:r>
          </w:p>
        </w:tc>
        <w:tc>
          <w:tcPr>
            <w:tcW w:w="7007" w:type="dxa"/>
            <w:shd w:val="clear" w:color="auto" w:fill="F4B083" w:themeFill="accent2" w:themeFillTint="99"/>
            <w:vAlign w:val="center"/>
          </w:tcPr>
          <w:p w:rsidR="00D5645E" w:rsidRPr="000C13AE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Promotion &amp; Implementation of ICN Work Product – Introduction to the Workshop and Presentation on the Analysis of Potential Competition 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F4B083" w:themeFill="accent2" w:themeFillTint="99"/>
          </w:tcPr>
          <w:p w:rsidR="00D5645E" w:rsidRPr="000C13AE" w:rsidRDefault="00465381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  <w:r w:rsidR="00D56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16 September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P&amp;I </w:t>
            </w: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Workshop</w:t>
            </w:r>
          </w:p>
        </w:tc>
        <w:tc>
          <w:tcPr>
            <w:tcW w:w="7007" w:type="dxa"/>
            <w:shd w:val="clear" w:color="auto" w:fill="F4B083" w:themeFill="accent2" w:themeFillTint="99"/>
            <w:vAlign w:val="center"/>
          </w:tcPr>
          <w:p w:rsidR="00D5645E" w:rsidRPr="00FB5C6B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FB5C6B">
              <w:rPr>
                <w:rFonts w:asciiTheme="minorHAnsi" w:hAnsiTheme="minorHAnsi" w:cstheme="minorHAnsi"/>
                <w:bCs/>
                <w:sz w:val="22"/>
                <w:u w:val="none"/>
              </w:rPr>
              <w:t>Developing Reliable Evidence through Requests for Documents and Data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F4B083" w:themeFill="accent2" w:themeFillTint="99"/>
          </w:tcPr>
          <w:p w:rsidR="00D5645E" w:rsidRPr="000C13AE" w:rsidRDefault="00465381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  <w:r w:rsidR="00D56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23 September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P&amp;I </w:t>
            </w: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Workshop</w:t>
            </w:r>
          </w:p>
        </w:tc>
        <w:tc>
          <w:tcPr>
            <w:tcW w:w="7007" w:type="dxa"/>
            <w:shd w:val="clear" w:color="auto" w:fill="F4B083" w:themeFill="accent2" w:themeFillTint="99"/>
            <w:vAlign w:val="center"/>
          </w:tcPr>
          <w:p w:rsidR="00D5645E" w:rsidRPr="00FB5C6B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FB5C6B">
              <w:rPr>
                <w:rFonts w:asciiTheme="minorHAnsi" w:hAnsiTheme="minorHAnsi" w:cstheme="minorHAnsi"/>
                <w:bCs/>
                <w:sz w:val="22"/>
                <w:u w:val="none"/>
              </w:rPr>
              <w:t>Developing Reliable Evidence through Interviews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F4B083" w:themeFill="accent2" w:themeFillTint="99"/>
          </w:tcPr>
          <w:p w:rsidR="00D5645E" w:rsidRPr="000C13AE" w:rsidRDefault="00465381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  <w:r w:rsidR="00D56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30 September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P&amp;I </w:t>
            </w: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Workshop</w:t>
            </w:r>
          </w:p>
        </w:tc>
        <w:tc>
          <w:tcPr>
            <w:tcW w:w="7007" w:type="dxa"/>
            <w:shd w:val="clear" w:color="auto" w:fill="F4B083" w:themeFill="accent2" w:themeFillTint="99"/>
            <w:vAlign w:val="center"/>
          </w:tcPr>
          <w:p w:rsidR="00D5645E" w:rsidRPr="00FB5C6B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FB5C6B"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Investigative Process Roundtable </w:t>
            </w:r>
          </w:p>
        </w:tc>
      </w:tr>
      <w:tr w:rsidR="00D5645E" w:rsidRPr="00340D89" w:rsidTr="00F55EDB">
        <w:tc>
          <w:tcPr>
            <w:tcW w:w="10768" w:type="dxa"/>
            <w:gridSpan w:val="3"/>
            <w:shd w:val="clear" w:color="auto" w:fill="C00000"/>
          </w:tcPr>
          <w:p w:rsidR="00D5645E" w:rsidRPr="00046BBC" w:rsidRDefault="00D5645E" w:rsidP="00F55EDB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</w:pPr>
            <w:r w:rsidRPr="00046BBC">
              <w:rPr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  <w:t>OCTOBER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538135" w:themeFill="accent6" w:themeFillShade="BF"/>
          </w:tcPr>
          <w:p w:rsidR="00D5645E" w:rsidRPr="00046BBC" w:rsidRDefault="00465381" w:rsidP="00F55EDB">
            <w:pPr>
              <w:pStyle w:val="IndexPg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Wednesday </w:t>
            </w:r>
            <w:r w:rsidR="00D5645E" w:rsidRPr="00046BB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6 October </w:t>
            </w:r>
          </w:p>
        </w:tc>
        <w:tc>
          <w:tcPr>
            <w:tcW w:w="1872" w:type="dxa"/>
            <w:shd w:val="clear" w:color="auto" w:fill="538135" w:themeFill="accent6" w:themeFillShade="BF"/>
          </w:tcPr>
          <w:p w:rsidR="00D5645E" w:rsidRPr="00046BBC" w:rsidRDefault="00D5645E" w:rsidP="00F55EDB">
            <w:pPr>
              <w:pStyle w:val="IndexPg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ICN Annual Conference</w:t>
            </w:r>
          </w:p>
        </w:tc>
        <w:tc>
          <w:tcPr>
            <w:tcW w:w="7007" w:type="dxa"/>
            <w:shd w:val="clear" w:color="auto" w:fill="538135" w:themeFill="accent6" w:themeFillShade="BF"/>
            <w:vAlign w:val="center"/>
          </w:tcPr>
          <w:p w:rsidR="00D5645E" w:rsidRPr="00046BBC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u w:val="none"/>
              </w:rPr>
              <w:t>Pre-</w:t>
            </w:r>
            <w:r w:rsidRPr="00046BBC">
              <w:rPr>
                <w:rFonts w:asciiTheme="minorHAnsi" w:hAnsiTheme="minorHAnsi" w:cstheme="minorHAnsi"/>
                <w:color w:val="auto"/>
                <w:sz w:val="22"/>
                <w:u w:val="none"/>
              </w:rPr>
              <w:t xml:space="preserve">Conference </w:t>
            </w:r>
            <w:r>
              <w:rPr>
                <w:rFonts w:asciiTheme="minorHAnsi" w:hAnsiTheme="minorHAnsi" w:cstheme="minorHAnsi"/>
                <w:color w:val="auto"/>
                <w:sz w:val="22"/>
                <w:u w:val="none"/>
              </w:rPr>
              <w:t>Webinar – Introduction to the ICN and 2021 Annual Conference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538135" w:themeFill="accent6" w:themeFillShade="BF"/>
          </w:tcPr>
          <w:p w:rsidR="00D5645E" w:rsidRPr="00046BBC" w:rsidRDefault="00465381" w:rsidP="00F55EDB">
            <w:pPr>
              <w:pStyle w:val="IndexPg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12-15</w:t>
            </w:r>
            <w:r w:rsidR="00D5645E" w:rsidRPr="00046BB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October</w:t>
            </w:r>
          </w:p>
        </w:tc>
        <w:tc>
          <w:tcPr>
            <w:tcW w:w="1872" w:type="dxa"/>
            <w:shd w:val="clear" w:color="auto" w:fill="538135" w:themeFill="accent6" w:themeFillShade="BF"/>
          </w:tcPr>
          <w:p w:rsidR="00D5645E" w:rsidRPr="00046BBC" w:rsidRDefault="00D5645E" w:rsidP="00F55EDB">
            <w:pPr>
              <w:pStyle w:val="IndexPg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46BB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ICN Annual Conference</w:t>
            </w:r>
          </w:p>
        </w:tc>
        <w:tc>
          <w:tcPr>
            <w:tcW w:w="7007" w:type="dxa"/>
            <w:shd w:val="clear" w:color="auto" w:fill="538135" w:themeFill="accent6" w:themeFillShade="BF"/>
            <w:vAlign w:val="center"/>
          </w:tcPr>
          <w:p w:rsidR="00D5645E" w:rsidRPr="00046BBC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046BBC">
              <w:rPr>
                <w:rFonts w:asciiTheme="minorHAnsi" w:hAnsiTheme="minorHAnsi" w:cstheme="minorHAnsi"/>
                <w:color w:val="auto"/>
                <w:sz w:val="22"/>
                <w:u w:val="none"/>
              </w:rPr>
              <w:t>20</w:t>
            </w:r>
            <w:r w:rsidRPr="00046BBC">
              <w:rPr>
                <w:rFonts w:asciiTheme="minorHAnsi" w:hAnsiTheme="minorHAnsi" w:cstheme="minorHAnsi"/>
                <w:color w:val="auto"/>
                <w:sz w:val="22"/>
                <w:u w:val="none"/>
                <w:vertAlign w:val="superscript"/>
              </w:rPr>
              <w:t>th</w:t>
            </w:r>
            <w:r w:rsidRPr="00046BBC">
              <w:rPr>
                <w:rFonts w:asciiTheme="minorHAnsi" w:hAnsiTheme="minorHAnsi" w:cstheme="minorHAnsi"/>
                <w:color w:val="auto"/>
                <w:sz w:val="22"/>
                <w:u w:val="none"/>
              </w:rPr>
              <w:t xml:space="preserve"> ICN </w:t>
            </w:r>
            <w:r>
              <w:rPr>
                <w:rFonts w:asciiTheme="minorHAnsi" w:hAnsiTheme="minorHAnsi" w:cstheme="minorHAnsi"/>
                <w:color w:val="auto"/>
                <w:sz w:val="22"/>
                <w:u w:val="none"/>
              </w:rPr>
              <w:t xml:space="preserve">Virtual </w:t>
            </w:r>
            <w:r w:rsidRPr="00046BBC">
              <w:rPr>
                <w:rFonts w:asciiTheme="minorHAnsi" w:hAnsiTheme="minorHAnsi" w:cstheme="minorHAnsi"/>
                <w:color w:val="auto"/>
                <w:sz w:val="22"/>
                <w:u w:val="none"/>
              </w:rPr>
              <w:t>Annual Conference,</w:t>
            </w:r>
            <w:r>
              <w:rPr>
                <w:rFonts w:asciiTheme="minorHAnsi" w:hAnsiTheme="minorHAnsi" w:cstheme="minorHAnsi"/>
                <w:color w:val="auto"/>
                <w:sz w:val="22"/>
                <w:u w:val="none"/>
              </w:rPr>
              <w:t xml:space="preserve"> hosted by the Hungarian GVH</w:t>
            </w:r>
          </w:p>
        </w:tc>
      </w:tr>
      <w:tr w:rsidR="00D5645E" w:rsidRPr="00340D89" w:rsidTr="00F55EDB">
        <w:tc>
          <w:tcPr>
            <w:tcW w:w="1889" w:type="dxa"/>
            <w:shd w:val="clear" w:color="auto" w:fill="FFD966" w:themeFill="accent4" w:themeFillTint="99"/>
          </w:tcPr>
          <w:p w:rsidR="00D5645E" w:rsidRPr="000C13AE" w:rsidRDefault="00465381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Monday</w:t>
            </w:r>
            <w:r w:rsidR="00D5645E" w:rsidRPr="00507E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25 October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D5645E" w:rsidRPr="000C13AE" w:rsidRDefault="00D5645E" w:rsidP="00F55ED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ICN</w:t>
            </w:r>
          </w:p>
        </w:tc>
        <w:tc>
          <w:tcPr>
            <w:tcW w:w="7007" w:type="dxa"/>
            <w:shd w:val="clear" w:color="auto" w:fill="FFD966" w:themeFill="accent4" w:themeFillTint="99"/>
            <w:vAlign w:val="center"/>
          </w:tcPr>
          <w:p w:rsidR="00D5645E" w:rsidRPr="000C13AE" w:rsidRDefault="00D5645E" w:rsidP="00F55ED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507E02">
              <w:rPr>
                <w:rFonts w:asciiTheme="minorHAnsi" w:hAnsiTheme="minorHAnsi" w:cstheme="minorHAnsi"/>
                <w:bCs/>
                <w:sz w:val="22"/>
                <w:u w:val="none"/>
              </w:rPr>
              <w:t>ICN 20th Anniversary Celebration</w:t>
            </w:r>
          </w:p>
        </w:tc>
      </w:tr>
    </w:tbl>
    <w:p w:rsidR="00790E51" w:rsidRPr="00F6401E" w:rsidRDefault="006E6BFA" w:rsidP="00F6401E">
      <w:pPr>
        <w:pStyle w:val="Heading5"/>
      </w:pPr>
      <w:r>
        <w:br/>
      </w:r>
      <w:r w:rsidR="00F6401E" w:rsidRPr="00F6401E">
        <w:t>Color Coding Key</w:t>
      </w:r>
    </w:p>
    <w:p w:rsidR="00F6401E" w:rsidRPr="00C64E6E" w:rsidRDefault="00896771" w:rsidP="00C64E6E">
      <w:pPr>
        <w:pStyle w:val="NoSpacing"/>
        <w:shd w:val="clear" w:color="auto" w:fill="F9D27B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ICN virtual events</w:t>
      </w:r>
    </w:p>
    <w:p w:rsidR="00F6401E" w:rsidRDefault="00F6401E" w:rsidP="00C64E6E">
      <w:pPr>
        <w:shd w:val="clear" w:color="auto" w:fill="C5E0B3" w:themeFill="accent6" w:themeFillTint="66"/>
        <w:rPr>
          <w:rFonts w:cstheme="minorHAnsi"/>
        </w:rPr>
      </w:pPr>
      <w:r>
        <w:rPr>
          <w:rFonts w:cstheme="minorHAnsi"/>
        </w:rPr>
        <w:t>Working Group Webinar</w:t>
      </w:r>
    </w:p>
    <w:p w:rsidR="00F6401E" w:rsidRDefault="00F6401E" w:rsidP="002B10A8">
      <w:pPr>
        <w:shd w:val="clear" w:color="auto" w:fill="F4B083" w:themeFill="accent2" w:themeFillTint="99"/>
        <w:rPr>
          <w:rFonts w:cstheme="minorHAnsi"/>
        </w:rPr>
      </w:pPr>
      <w:r>
        <w:rPr>
          <w:rFonts w:cstheme="minorHAnsi"/>
        </w:rPr>
        <w:t>Workshop</w:t>
      </w:r>
    </w:p>
    <w:p w:rsidR="00F6401E" w:rsidRDefault="00F6401E" w:rsidP="00C64E6E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</w:rPr>
        <w:t>Regional Programming</w:t>
      </w:r>
    </w:p>
    <w:p w:rsidR="00295670" w:rsidRDefault="00C64E6E" w:rsidP="006E6BFA">
      <w:pPr>
        <w:shd w:val="clear" w:color="auto" w:fill="538135" w:themeFill="accent6" w:themeFillShade="BF"/>
        <w:rPr>
          <w:rFonts w:cstheme="minorHAnsi"/>
          <w:color w:val="FFFFFF" w:themeColor="background1"/>
        </w:rPr>
      </w:pPr>
      <w:r w:rsidRPr="00C64E6E">
        <w:rPr>
          <w:rFonts w:cstheme="minorHAnsi"/>
          <w:color w:val="FFFFFF" w:themeColor="background1"/>
        </w:rPr>
        <w:t>Annual Conference</w:t>
      </w:r>
    </w:p>
    <w:p w:rsidR="002F14B6" w:rsidRPr="006E6BFA" w:rsidRDefault="00295670" w:rsidP="00295670">
      <w:pPr>
        <w:rPr>
          <w:rFonts w:cstheme="minorHAnsi"/>
          <w:color w:val="FFFFFF" w:themeColor="background1"/>
        </w:rPr>
      </w:pPr>
      <w:r>
        <w:rPr>
          <w:rFonts w:cstheme="minorHAnsi"/>
          <w:color w:val="FFFFFF" w:themeColor="background1"/>
        </w:rPr>
        <w:br w:type="page"/>
      </w:r>
    </w:p>
    <w:tbl>
      <w:tblPr>
        <w:tblStyle w:val="TableGrid"/>
        <w:tblpPr w:leftFromText="180" w:rightFromText="180" w:vertAnchor="text" w:horzAnchor="margin" w:tblpXSpec="center" w:tblpY="409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4B6" w:rsidRPr="00592A9B" w:rsidTr="002F14B6">
        <w:tc>
          <w:tcPr>
            <w:tcW w:w="10795" w:type="dxa"/>
            <w:shd w:val="clear" w:color="auto" w:fill="C00000"/>
          </w:tcPr>
          <w:p w:rsidR="002F14B6" w:rsidRPr="00D720C9" w:rsidRDefault="002F14B6" w:rsidP="002F14B6">
            <w:pPr>
              <w:pStyle w:val="Heading6"/>
              <w:framePr w:hSpace="0" w:wrap="auto" w:vAnchor="margin" w:hAnchor="text" w:xAlign="left" w:yAlign="inline"/>
              <w:suppressOverlap w:val="0"/>
              <w:outlineLvl w:val="5"/>
            </w:pPr>
            <w:r w:rsidRPr="00D720C9">
              <w:lastRenderedPageBreak/>
              <w:t>Working Group Contact Information</w:t>
            </w:r>
          </w:p>
        </w:tc>
      </w:tr>
      <w:tr w:rsidR="002F14B6" w:rsidRPr="00592A9B" w:rsidTr="002F14B6">
        <w:trPr>
          <w:trHeight w:val="2143"/>
        </w:trPr>
        <w:tc>
          <w:tcPr>
            <w:tcW w:w="10795" w:type="dxa"/>
            <w:shd w:val="clear" w:color="auto" w:fill="C5E0B3" w:themeFill="accent6" w:themeFillTint="66"/>
          </w:tcPr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D720C9">
              <w:rPr>
                <w:rFonts w:asciiTheme="majorHAnsi" w:hAnsiTheme="majorHAnsi" w:cstheme="majorHAnsi"/>
                <w:b/>
                <w:color w:val="auto"/>
              </w:rPr>
              <w:t>Find out more about AWG at:</w:t>
            </w:r>
          </w:p>
          <w:p w:rsidR="002F14B6" w:rsidRPr="00D720C9" w:rsidRDefault="004313DA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8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https://www.internationalcompetitionnetwork.org/working-groups/advocacy/</w:t>
              </w:r>
            </w:hyperlink>
            <w:r w:rsidR="002F14B6">
              <w:rPr>
                <w:rStyle w:val="Hyperlink"/>
                <w:rFonts w:asciiTheme="majorHAnsi" w:hAnsiTheme="majorHAnsi" w:cstheme="majorHAnsi"/>
                <w:color w:val="auto"/>
              </w:rPr>
              <w:t xml:space="preserve">  </w:t>
            </w:r>
            <w:r w:rsidR="002F14B6" w:rsidRPr="00D720C9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D720C9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AWG Working Group Co-Chairs:</w:t>
            </w:r>
          </w:p>
          <w:p w:rsidR="002F14B6" w:rsidRPr="00D720C9" w:rsidRDefault="004313DA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9" w:history="1"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Superintendencia de Industria y Comercio of Colombia</w:t>
              </w:r>
            </w:hyperlink>
          </w:p>
          <w:p w:rsidR="002F14B6" w:rsidRPr="00D720C9" w:rsidRDefault="004313DA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0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Hong Kong Competition Commission</w:t>
              </w:r>
            </w:hyperlink>
          </w:p>
          <w:p w:rsidR="002F14B6" w:rsidRPr="00E008C2" w:rsidRDefault="004313DA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  <w:u w:val="single"/>
              </w:rPr>
            </w:pPr>
            <w:hyperlink r:id="rId11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Norwegian Competition Authority</w:t>
              </w:r>
            </w:hyperlink>
          </w:p>
        </w:tc>
      </w:tr>
    </w:tbl>
    <w:p w:rsidR="008D60D5" w:rsidRDefault="008D60D5" w:rsidP="008D60D5"/>
    <w:tbl>
      <w:tblPr>
        <w:tblStyle w:val="TableGrid"/>
        <w:tblpPr w:leftFromText="180" w:rightFromText="180" w:vertAnchor="text" w:horzAnchor="margin" w:tblpXSpec="center" w:tblpY="505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720C9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4F0627">
              <w:rPr>
                <w:rFonts w:asciiTheme="majorHAnsi" w:hAnsiTheme="majorHAnsi" w:cstheme="majorHAnsi"/>
                <w:b/>
                <w:color w:val="auto"/>
              </w:rPr>
              <w:t>Find out more about A</w:t>
            </w:r>
            <w:r w:rsidR="004F0627">
              <w:rPr>
                <w:rFonts w:asciiTheme="majorHAnsi" w:hAnsiTheme="majorHAnsi" w:cstheme="majorHAnsi"/>
                <w:b/>
                <w:color w:val="auto"/>
              </w:rPr>
              <w:t>E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D720C9" w:rsidRPr="004F0627" w:rsidRDefault="004313DA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2" w:history="1">
              <w:r w:rsidR="004F0627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https://www.internationalcompetitionnetwork.org/working-groups/agency-effectiveness/</w:t>
              </w:r>
            </w:hyperlink>
            <w:r w:rsidR="00D720C9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</w:t>
            </w:r>
            <w:r w:rsidR="004212B0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E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F0627" w:rsidRDefault="004313DA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3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Authority of Botswana</w:t>
              </w:r>
            </w:hyperlink>
          </w:p>
          <w:p w:rsidR="004F0627" w:rsidRDefault="004313DA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4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and Consumer Commission of Singapore</w:t>
              </w:r>
            </w:hyperlink>
            <w:r w:rsidR="004F0627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4313DA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5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Swedish Competition Authority</w:t>
              </w:r>
            </w:hyperlink>
            <w:hyperlink r:id="rId16" w:history="1"/>
          </w:p>
        </w:tc>
      </w:tr>
      <w:tr w:rsidR="004212B0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4313DA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7" w:history="1">
              <w:r w:rsidR="004212B0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https://www.internationalcompetitionnetwork.org/working-groups/cartel/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C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4313DA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8" w:history="1">
              <w:r w:rsidR="004212B0" w:rsidRPr="004212B0">
                <w:rPr>
                  <w:rStyle w:val="Hyperlink"/>
                  <w:rFonts w:asciiTheme="majorHAnsi" w:hAnsiTheme="majorHAnsi" w:cstheme="majorHAnsi"/>
                </w:rPr>
                <w:t>Russian Federal Anti-Monopoly Service (FAS)</w:t>
              </w:r>
            </w:hyperlink>
          </w:p>
          <w:p w:rsidR="004212B0" w:rsidRDefault="004313DA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9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French Autorité de la Concurrence</w:t>
              </w:r>
            </w:hyperlink>
          </w:p>
          <w:p w:rsidR="004212B0" w:rsidRPr="00E008C2" w:rsidRDefault="004313DA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0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Italian Competition</w:t>
              </w:r>
              <w:r w:rsidR="004212B0" w:rsidRPr="00314116">
                <w:rPr>
                  <w:rStyle w:val="Hyperlink"/>
                  <w:rFonts w:asciiTheme="majorHAnsi" w:hAnsiTheme="majorHAnsi" w:cstheme="majorHAnsi"/>
                </w:rPr>
                <w:t xml:space="preserve"> Authority</w:t>
              </w:r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AGCM</w:t>
              </w:r>
            </w:hyperlink>
          </w:p>
        </w:tc>
      </w:tr>
      <w:tr w:rsidR="004212B0" w:rsidRPr="00592A9B" w:rsidTr="00E008C2">
        <w:trPr>
          <w:trHeight w:val="2165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M</w:t>
            </w:r>
            <w:r w:rsidR="004212B0"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4313DA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1" w:history="1">
              <w:r w:rsidR="00314116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https://www.internationalcompetitionnetwork.org/working-groups/merger/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E008C2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M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4313DA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2" w:history="1">
              <w:r w:rsidR="00314116">
                <w:rPr>
                  <w:rStyle w:val="Hyperlink"/>
                  <w:rFonts w:asciiTheme="majorHAnsi" w:hAnsiTheme="majorHAnsi" w:cstheme="majorHAnsi"/>
                </w:rPr>
                <w:t>UK Competition and Markets Authority</w:t>
              </w:r>
            </w:hyperlink>
          </w:p>
          <w:p w:rsidR="004212B0" w:rsidRDefault="004313DA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3" w:history="1">
              <w:r w:rsidR="00314116">
                <w:rPr>
                  <w:rStyle w:val="Hyperlink"/>
                  <w:rFonts w:asciiTheme="majorHAnsi" w:hAnsiTheme="majorHAnsi" w:cstheme="majorHAnsi"/>
                </w:rPr>
                <w:t>Spanish Competition Authority CNMC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E008C2" w:rsidRDefault="004313DA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4" w:history="1">
              <w:r w:rsidR="00314116">
                <w:rPr>
                  <w:rStyle w:val="Hyperlink"/>
                  <w:rFonts w:asciiTheme="majorHAnsi" w:hAnsiTheme="majorHAnsi" w:cstheme="majorHAnsi"/>
                </w:rPr>
                <w:t>Brazilian Competition Authority</w:t>
              </w:r>
            </w:hyperlink>
          </w:p>
        </w:tc>
      </w:tr>
      <w:tr w:rsidR="00E008C2" w:rsidRPr="00592A9B" w:rsidTr="00E008C2">
        <w:trPr>
          <w:trHeight w:val="2228"/>
        </w:trPr>
        <w:tc>
          <w:tcPr>
            <w:tcW w:w="10795" w:type="dxa"/>
            <w:shd w:val="clear" w:color="auto" w:fill="C5E0B3" w:themeFill="accent6" w:themeFillTint="66"/>
          </w:tcPr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UC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E008C2" w:rsidRPr="004F0627" w:rsidRDefault="004313DA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5" w:history="1">
              <w:r w:rsidR="00E008C2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https://www.internationalcompetitionnetwork.org/working-groups/unilateral-conduct/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UC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E008C2" w:rsidRDefault="004313DA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6" w:history="1">
              <w:r w:rsidR="00E008C2">
                <w:rPr>
                  <w:rStyle w:val="Hyperlink"/>
                  <w:rFonts w:asciiTheme="majorHAnsi" w:hAnsiTheme="majorHAnsi" w:cstheme="majorHAnsi"/>
                </w:rPr>
                <w:t>European Commission DG COMP</w:t>
              </w:r>
            </w:hyperlink>
          </w:p>
          <w:p w:rsidR="00E008C2" w:rsidRDefault="004313DA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7" w:history="1">
              <w:r w:rsidR="00E008C2">
                <w:rPr>
                  <w:rStyle w:val="Hyperlink"/>
                  <w:rFonts w:asciiTheme="majorHAnsi" w:hAnsiTheme="majorHAnsi" w:cstheme="majorHAnsi"/>
                </w:rPr>
                <w:t>South Africa Competition Commission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E008C2" w:rsidRDefault="004313DA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8" w:history="1">
              <w:r w:rsidR="00E008C2">
                <w:rPr>
                  <w:rStyle w:val="Hyperlink"/>
                  <w:rFonts w:asciiTheme="majorHAnsi" w:hAnsiTheme="majorHAnsi" w:cstheme="majorHAnsi"/>
                </w:rPr>
                <w:t>Japan Fair Trade Commission</w:t>
              </w:r>
            </w:hyperlink>
          </w:p>
        </w:tc>
      </w:tr>
    </w:tbl>
    <w:p w:rsidR="008D60D5" w:rsidRPr="00340D89" w:rsidRDefault="008D60D5" w:rsidP="00E008C2">
      <w:pPr>
        <w:rPr>
          <w:rFonts w:cstheme="minorHAnsi"/>
        </w:rPr>
      </w:pPr>
    </w:p>
    <w:sectPr w:rsidR="008D60D5" w:rsidRPr="00340D89" w:rsidSect="006E6BFA">
      <w:type w:val="continuous"/>
      <w:pgSz w:w="12240" w:h="15840"/>
      <w:pgMar w:top="28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C3" w:rsidRDefault="007406C3" w:rsidP="00216FAC">
      <w:pPr>
        <w:spacing w:after="0" w:line="240" w:lineRule="auto"/>
      </w:pPr>
      <w:r>
        <w:separator/>
      </w:r>
    </w:p>
  </w:endnote>
  <w:endnote w:type="continuationSeparator" w:id="0">
    <w:p w:rsidR="007406C3" w:rsidRDefault="007406C3" w:rsidP="0021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C3" w:rsidRDefault="007406C3" w:rsidP="00216FAC">
      <w:pPr>
        <w:spacing w:after="0" w:line="240" w:lineRule="auto"/>
      </w:pPr>
      <w:r>
        <w:separator/>
      </w:r>
    </w:p>
  </w:footnote>
  <w:footnote w:type="continuationSeparator" w:id="0">
    <w:p w:rsidR="007406C3" w:rsidRDefault="007406C3" w:rsidP="0021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355"/>
    <w:multiLevelType w:val="hybridMultilevel"/>
    <w:tmpl w:val="8330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E36"/>
    <w:multiLevelType w:val="hybridMultilevel"/>
    <w:tmpl w:val="52C0EECC"/>
    <w:lvl w:ilvl="0" w:tplc="295E87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E"/>
    <w:rsid w:val="000237E2"/>
    <w:rsid w:val="00025CD5"/>
    <w:rsid w:val="00027647"/>
    <w:rsid w:val="00040EEA"/>
    <w:rsid w:val="00054C92"/>
    <w:rsid w:val="00064F34"/>
    <w:rsid w:val="00072342"/>
    <w:rsid w:val="000934A7"/>
    <w:rsid w:val="000A4945"/>
    <w:rsid w:val="000B6E49"/>
    <w:rsid w:val="000C13AE"/>
    <w:rsid w:val="000D2ABB"/>
    <w:rsid w:val="001240A4"/>
    <w:rsid w:val="001369AF"/>
    <w:rsid w:val="0014482B"/>
    <w:rsid w:val="001465E8"/>
    <w:rsid w:val="00165D71"/>
    <w:rsid w:val="0016714E"/>
    <w:rsid w:val="001A10BF"/>
    <w:rsid w:val="001D1618"/>
    <w:rsid w:val="001D7DF0"/>
    <w:rsid w:val="001F36FA"/>
    <w:rsid w:val="001F793F"/>
    <w:rsid w:val="00212E9E"/>
    <w:rsid w:val="00216FAC"/>
    <w:rsid w:val="00235014"/>
    <w:rsid w:val="002471B9"/>
    <w:rsid w:val="00282056"/>
    <w:rsid w:val="0028720F"/>
    <w:rsid w:val="00295670"/>
    <w:rsid w:val="002B10A8"/>
    <w:rsid w:val="002B36FA"/>
    <w:rsid w:val="002B609D"/>
    <w:rsid w:val="002C53C5"/>
    <w:rsid w:val="002D63D1"/>
    <w:rsid w:val="002F0509"/>
    <w:rsid w:val="002F14B6"/>
    <w:rsid w:val="00314116"/>
    <w:rsid w:val="00340D89"/>
    <w:rsid w:val="003418C9"/>
    <w:rsid w:val="0034678D"/>
    <w:rsid w:val="0035001B"/>
    <w:rsid w:val="00367BDA"/>
    <w:rsid w:val="0037719B"/>
    <w:rsid w:val="00380C05"/>
    <w:rsid w:val="003F6130"/>
    <w:rsid w:val="00413825"/>
    <w:rsid w:val="004212B0"/>
    <w:rsid w:val="00422154"/>
    <w:rsid w:val="00427F39"/>
    <w:rsid w:val="00430B0F"/>
    <w:rsid w:val="004313DA"/>
    <w:rsid w:val="00441B62"/>
    <w:rsid w:val="00465381"/>
    <w:rsid w:val="00466643"/>
    <w:rsid w:val="00477D26"/>
    <w:rsid w:val="004D4FB0"/>
    <w:rsid w:val="004E5409"/>
    <w:rsid w:val="004F0627"/>
    <w:rsid w:val="00514AAF"/>
    <w:rsid w:val="0051731F"/>
    <w:rsid w:val="00550CC3"/>
    <w:rsid w:val="00592A9B"/>
    <w:rsid w:val="005B5D11"/>
    <w:rsid w:val="005B668C"/>
    <w:rsid w:val="005C6012"/>
    <w:rsid w:val="005F2AD7"/>
    <w:rsid w:val="006065B2"/>
    <w:rsid w:val="0063412E"/>
    <w:rsid w:val="00635F36"/>
    <w:rsid w:val="006363C0"/>
    <w:rsid w:val="0066100B"/>
    <w:rsid w:val="00676A84"/>
    <w:rsid w:val="006A513B"/>
    <w:rsid w:val="006A662A"/>
    <w:rsid w:val="006E6BFA"/>
    <w:rsid w:val="007063E5"/>
    <w:rsid w:val="00724D1E"/>
    <w:rsid w:val="007406C3"/>
    <w:rsid w:val="00762875"/>
    <w:rsid w:val="007811A0"/>
    <w:rsid w:val="00790E51"/>
    <w:rsid w:val="00797EFB"/>
    <w:rsid w:val="007A6F7E"/>
    <w:rsid w:val="007B124E"/>
    <w:rsid w:val="007D2380"/>
    <w:rsid w:val="007F3267"/>
    <w:rsid w:val="00814ABE"/>
    <w:rsid w:val="00817A21"/>
    <w:rsid w:val="00830575"/>
    <w:rsid w:val="0087043E"/>
    <w:rsid w:val="0088416A"/>
    <w:rsid w:val="00891511"/>
    <w:rsid w:val="00896771"/>
    <w:rsid w:val="008B0A29"/>
    <w:rsid w:val="008C6D91"/>
    <w:rsid w:val="008D197C"/>
    <w:rsid w:val="008D60D5"/>
    <w:rsid w:val="008E6B7B"/>
    <w:rsid w:val="009269B4"/>
    <w:rsid w:val="00930B72"/>
    <w:rsid w:val="00944473"/>
    <w:rsid w:val="009478D6"/>
    <w:rsid w:val="00955834"/>
    <w:rsid w:val="009733F9"/>
    <w:rsid w:val="009850AE"/>
    <w:rsid w:val="009A1CE7"/>
    <w:rsid w:val="009A32D7"/>
    <w:rsid w:val="009B3723"/>
    <w:rsid w:val="009C1608"/>
    <w:rsid w:val="009C3FB7"/>
    <w:rsid w:val="00A26FE4"/>
    <w:rsid w:val="00A33E8F"/>
    <w:rsid w:val="00A37DC6"/>
    <w:rsid w:val="00A5107E"/>
    <w:rsid w:val="00A620DD"/>
    <w:rsid w:val="00A70712"/>
    <w:rsid w:val="00A830FE"/>
    <w:rsid w:val="00A909F8"/>
    <w:rsid w:val="00AD0B79"/>
    <w:rsid w:val="00AD1F90"/>
    <w:rsid w:val="00B14E5E"/>
    <w:rsid w:val="00B311C4"/>
    <w:rsid w:val="00B55DEF"/>
    <w:rsid w:val="00B64203"/>
    <w:rsid w:val="00B64802"/>
    <w:rsid w:val="00B66CC7"/>
    <w:rsid w:val="00B71E1C"/>
    <w:rsid w:val="00B80EFD"/>
    <w:rsid w:val="00B97063"/>
    <w:rsid w:val="00BF4807"/>
    <w:rsid w:val="00C0495D"/>
    <w:rsid w:val="00C12230"/>
    <w:rsid w:val="00C21684"/>
    <w:rsid w:val="00C2329A"/>
    <w:rsid w:val="00C41CDB"/>
    <w:rsid w:val="00C428B1"/>
    <w:rsid w:val="00C64E6E"/>
    <w:rsid w:val="00C67A43"/>
    <w:rsid w:val="00C82F52"/>
    <w:rsid w:val="00C9282A"/>
    <w:rsid w:val="00C96E9A"/>
    <w:rsid w:val="00CA135B"/>
    <w:rsid w:val="00CA4087"/>
    <w:rsid w:val="00CE1899"/>
    <w:rsid w:val="00CF3886"/>
    <w:rsid w:val="00D31E7B"/>
    <w:rsid w:val="00D36BDE"/>
    <w:rsid w:val="00D5645E"/>
    <w:rsid w:val="00D720C9"/>
    <w:rsid w:val="00DE024B"/>
    <w:rsid w:val="00E008C2"/>
    <w:rsid w:val="00E07C4E"/>
    <w:rsid w:val="00E42B60"/>
    <w:rsid w:val="00E5019E"/>
    <w:rsid w:val="00E9501C"/>
    <w:rsid w:val="00EC431A"/>
    <w:rsid w:val="00F00445"/>
    <w:rsid w:val="00F0132B"/>
    <w:rsid w:val="00F54D6C"/>
    <w:rsid w:val="00F6082B"/>
    <w:rsid w:val="00F6401E"/>
    <w:rsid w:val="00F675B2"/>
    <w:rsid w:val="00F71FC2"/>
    <w:rsid w:val="00F74B4D"/>
    <w:rsid w:val="00FE4AC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B346B603-CCAD-4BA9-AEDF-C3362D3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6A"/>
    <w:pPr>
      <w:keepNext/>
      <w:outlineLvl w:val="0"/>
    </w:pPr>
    <w:rPr>
      <w:rFonts w:eastAsiaTheme="minorEastAsia"/>
      <w:b/>
      <w:u w:val="single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16A"/>
    <w:pPr>
      <w:keepNext/>
      <w:framePr w:hSpace="180" w:wrap="around" w:vAnchor="text" w:hAnchor="text" w:x="-650" w:y="1"/>
      <w:spacing w:after="0" w:line="240" w:lineRule="auto"/>
      <w:suppressOverlap/>
      <w:outlineLvl w:val="1"/>
    </w:pPr>
    <w:rPr>
      <w:rFonts w:ascii="Times New Roman" w:hAnsi="Times New Roman" w:cs="Times New Roman"/>
      <w:b/>
      <w:color w:val="11111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E9A"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01E"/>
    <w:pPr>
      <w:keepNext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0C9"/>
    <w:pPr>
      <w:keepNext/>
      <w:framePr w:hSpace="180" w:wrap="around" w:vAnchor="text" w:hAnchor="margin" w:xAlign="center" w:y="505"/>
      <w:spacing w:before="120" w:after="120" w:line="240" w:lineRule="auto"/>
      <w:contextualSpacing/>
      <w:suppressOverlap/>
      <w:jc w:val="center"/>
      <w:outlineLvl w:val="5"/>
    </w:pPr>
    <w:rPr>
      <w:rFonts w:asciiTheme="majorHAnsi" w:hAnsiTheme="majorHAnsi" w:cstheme="majorHAnsi"/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6A"/>
    <w:rPr>
      <w:rFonts w:eastAsiaTheme="minorEastAsia"/>
      <w:b/>
      <w:u w:val="single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8416A"/>
    <w:rPr>
      <w:rFonts w:ascii="Times New Roman" w:hAnsi="Times New Roman" w:cs="Times New Roman"/>
      <w:b/>
      <w:color w:val="11111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customStyle="1" w:styleId="IndexPg">
    <w:name w:val="Index_Pg"/>
    <w:basedOn w:val="Normal"/>
    <w:link w:val="IndexPgChar"/>
    <w:qFormat/>
    <w:rsid w:val="0088416A"/>
    <w:pPr>
      <w:tabs>
        <w:tab w:val="left" w:pos="720"/>
        <w:tab w:val="right" w:leader="do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IndexPgChar">
    <w:name w:val="Index_Pg Char"/>
    <w:basedOn w:val="DefaultParagraphFont"/>
    <w:link w:val="IndexPg"/>
    <w:rsid w:val="0088416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16A"/>
    <w:pPr>
      <w:spacing w:after="0" w:line="240" w:lineRule="auto"/>
    </w:pPr>
    <w:rPr>
      <w:rFonts w:ascii="Times New Roman" w:hAnsi="Times New Roman" w:cs="Times New Roman"/>
      <w:color w:val="11111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88416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96E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96E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6E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6E9A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5B5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C"/>
  </w:style>
  <w:style w:type="character" w:customStyle="1" w:styleId="Heading5Char">
    <w:name w:val="Heading 5 Char"/>
    <w:basedOn w:val="DefaultParagraphFont"/>
    <w:link w:val="Heading5"/>
    <w:uiPriority w:val="9"/>
    <w:rsid w:val="00F6401E"/>
    <w:rPr>
      <w:rFonts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D720C9"/>
    <w:rPr>
      <w:rFonts w:asciiTheme="majorHAnsi" w:hAnsiTheme="majorHAnsi" w:cstheme="majorHAnsi"/>
      <w:b/>
      <w:color w:val="FFFFFF" w:themeColor="background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competitionnetwork.org/working-groups/advocacy/" TargetMode="External"/><Relationship Id="rId13" Type="http://schemas.openxmlformats.org/officeDocument/2006/relationships/hyperlink" Target="mailto:Baitshepi.Tebogo@competitionauthority.co.bw" TargetMode="External"/><Relationship Id="rId18" Type="http://schemas.openxmlformats.org/officeDocument/2006/relationships/hyperlink" Target="mailto:international@fas.gov.ru" TargetMode="External"/><Relationship Id="rId26" Type="http://schemas.openxmlformats.org/officeDocument/2006/relationships/hyperlink" Target="mailto:Philipp.GASPARON@ec.europa.eu;%20Filip.KUBIK@ec.europa.eu;%20COMP-ICN@ec.europa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ernationalcompetitionnetwork.org/working-groups/merge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nternationalcompetitionnetwork.org/working-groups/agency-effectiveness/" TargetMode="External"/><Relationship Id="rId17" Type="http://schemas.openxmlformats.org/officeDocument/2006/relationships/hyperlink" Target="https://www.internationalcompetitionnetwork.org/working-groups/cartel/" TargetMode="External"/><Relationship Id="rId25" Type="http://schemas.openxmlformats.org/officeDocument/2006/relationships/hyperlink" Target="https://www.internationalcompetitionnetwork.org/working-groups/unilateral-conduct/" TargetMode="External"/><Relationship Id="rId2" Type="http://schemas.openxmlformats.org/officeDocument/2006/relationships/styles" Target="styles.xml"/><Relationship Id="rId16" Type="http://schemas.openxmlformats.org/officeDocument/2006/relationships/hyperlink" Target="mailto:kjsu@kt.no" TargetMode="External"/><Relationship Id="rId20" Type="http://schemas.openxmlformats.org/officeDocument/2006/relationships/hyperlink" Target="mailto:Alessandra.Tonazzi@agcm.it;%20andrea.minutorizzo@agcm.it;%20michele.pacillo@agcm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jsu@kt.no" TargetMode="External"/><Relationship Id="rId24" Type="http://schemas.openxmlformats.org/officeDocument/2006/relationships/hyperlink" Target="mailto:%20international@cade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eme.Jarvie@kkv.se;%20Ruta.Baltuonyte@kkv.se" TargetMode="External"/><Relationship Id="rId23" Type="http://schemas.openxmlformats.org/officeDocument/2006/relationships/hyperlink" Target="mailto:mergers@cnmc.es" TargetMode="External"/><Relationship Id="rId28" Type="http://schemas.openxmlformats.org/officeDocument/2006/relationships/hyperlink" Target="mailto:icn@jftc.go.jp" TargetMode="External"/><Relationship Id="rId10" Type="http://schemas.openxmlformats.org/officeDocument/2006/relationships/hyperlink" Target="mailto:matthewwong@compcomm.hk;%20michellezang@compcomm.hk" TargetMode="External"/><Relationship Id="rId19" Type="http://schemas.openxmlformats.org/officeDocument/2006/relationships/hyperlink" Target="mailto:international@autoritedelaconcurre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odriguezco@sic.gov.co;%20c.mpalacio@sic.gov.co" TargetMode="External"/><Relationship Id="rId14" Type="http://schemas.openxmlformats.org/officeDocument/2006/relationships/hyperlink" Target="mailto:Yvette_YOONG@cccs.gov.sg;%20Raymond_NG@cccs.gov.sg" TargetMode="External"/><Relationship Id="rId22" Type="http://schemas.openxmlformats.org/officeDocument/2006/relationships/hyperlink" Target="mailto:ICN.mergers@cma.gov.uk" TargetMode="External"/><Relationship Id="rId27" Type="http://schemas.openxmlformats.org/officeDocument/2006/relationships/hyperlink" Target="mailto:Khalirendwer@compcom.co.za;%20NonkululekoM@compcom.co.z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Trade Commission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Lagdameo, Cynthia</dc:creator>
  <cp:keywords/>
  <dc:description/>
  <cp:lastModifiedBy>O'Brien, Paul</cp:lastModifiedBy>
  <cp:revision>2</cp:revision>
  <dcterms:created xsi:type="dcterms:W3CDTF">2021-04-30T15:26:00Z</dcterms:created>
  <dcterms:modified xsi:type="dcterms:W3CDTF">2021-04-30T15:26:00Z</dcterms:modified>
</cp:coreProperties>
</file>